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40" w:lineRule="auto"/>
        <w:rPr>
          <w:rFonts w:ascii="Cambria" w:cs="Cambria" w:eastAsia="Cambria" w:hAnsi="Cambria"/>
          <w:b w:val="1"/>
          <w:sz w:val="24"/>
          <w:szCs w:val="24"/>
        </w:rPr>
      </w:pPr>
      <w:r w:rsidDel="00000000" w:rsidR="00000000" w:rsidRPr="00000000">
        <w:rPr>
          <w:rtl w:val="0"/>
        </w:rPr>
      </w:r>
    </w:p>
    <w:tbl>
      <w:tblPr>
        <w:tblStyle w:val="Table1"/>
        <w:tblW w:w="863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24"/>
        <w:gridCol w:w="4306"/>
        <w:tblGridChange w:id="0">
          <w:tblGrid>
            <w:gridCol w:w="4324"/>
            <w:gridCol w:w="4306"/>
          </w:tblGrid>
        </w:tblGridChange>
      </w:tblGrid>
      <w:tr>
        <w:trPr>
          <w:cantSplit w:val="0"/>
          <w:tblHeader w:val="0"/>
        </w:trPr>
        <w:tc>
          <w:tcPr/>
          <w:p w:rsidR="00000000" w:rsidDel="00000000" w:rsidP="00000000" w:rsidRDefault="00000000" w:rsidRPr="00000000" w14:paraId="00000002">
            <w:pPr>
              <w:spacing w:after="120" w:line="240" w:lineRule="auto"/>
              <w:rPr>
                <w:b w:val="1"/>
              </w:rPr>
            </w:pPr>
            <w:bookmarkStart w:colFirst="0" w:colLast="0" w:name="_heading=h.gjdgxs" w:id="0"/>
            <w:bookmarkEnd w:id="0"/>
            <w:r w:rsidDel="00000000" w:rsidR="00000000" w:rsidRPr="00000000">
              <w:rPr>
                <w:b w:val="1"/>
                <w:rtl w:val="0"/>
              </w:rPr>
              <w:t xml:space="preserve">Sunlight Medical Services Policy 2.25</w:t>
            </w:r>
          </w:p>
          <w:p w:rsidR="00000000" w:rsidDel="00000000" w:rsidP="00000000" w:rsidRDefault="00000000" w:rsidRPr="00000000" w14:paraId="00000003">
            <w:pPr>
              <w:spacing w:after="120" w:line="240" w:lineRule="auto"/>
              <w:rPr>
                <w:b w:val="1"/>
              </w:rPr>
            </w:pPr>
            <w:bookmarkStart w:colFirst="0" w:colLast="0" w:name="_heading=h.30j0zll" w:id="1"/>
            <w:bookmarkEnd w:id="1"/>
            <w:r w:rsidDel="00000000" w:rsidR="00000000" w:rsidRPr="00000000">
              <w:rPr>
                <w:b w:val="1"/>
                <w:rtl w:val="0"/>
              </w:rPr>
              <w:t xml:space="preserve">Diversion Control Plan and PDMP</w:t>
            </w:r>
          </w:p>
        </w:tc>
        <w:tc>
          <w:tcPr/>
          <w:p w:rsidR="00000000" w:rsidDel="00000000" w:rsidP="00000000" w:rsidRDefault="00000000" w:rsidRPr="00000000" w14:paraId="00000004">
            <w:pPr>
              <w:spacing w:after="120" w:line="240" w:lineRule="auto"/>
              <w:rPr>
                <w:b w:val="1"/>
              </w:rPr>
            </w:pPr>
            <w:r w:rsidDel="00000000" w:rsidR="00000000" w:rsidRPr="00000000">
              <w:rPr>
                <w:b w:val="1"/>
                <w:rtl w:val="0"/>
              </w:rPr>
              <w:t xml:space="preserve">AHCCCS Opioid Treatment Program Reporting Checklist</w:t>
            </w:r>
          </w:p>
          <w:p w:rsidR="00000000" w:rsidDel="00000000" w:rsidP="00000000" w:rsidRDefault="00000000" w:rsidRPr="00000000" w14:paraId="00000005">
            <w:pPr>
              <w:spacing w:after="120" w:line="240" w:lineRule="auto"/>
              <w:rPr>
                <w:b w:val="1"/>
              </w:rPr>
            </w:pPr>
            <w:r w:rsidDel="00000000" w:rsidR="00000000" w:rsidRPr="00000000">
              <w:rPr>
                <w:b w:val="1"/>
                <w:rtl w:val="0"/>
              </w:rPr>
              <w:t xml:space="preserve">CARF 2A.31-33</w:t>
            </w:r>
          </w:p>
        </w:tc>
      </w:tr>
      <w:tr>
        <w:trPr>
          <w:cantSplit w:val="0"/>
          <w:tblHeader w:val="0"/>
        </w:trPr>
        <w:tc>
          <w:tcPr/>
          <w:p w:rsidR="00000000" w:rsidDel="00000000" w:rsidP="00000000" w:rsidRDefault="00000000" w:rsidRPr="00000000" w14:paraId="00000006">
            <w:pPr>
              <w:spacing w:line="240" w:lineRule="auto"/>
              <w:rPr/>
            </w:pPr>
            <w:r w:rsidDel="00000000" w:rsidR="00000000" w:rsidRPr="00000000">
              <w:rPr>
                <w:rtl w:val="0"/>
              </w:rPr>
              <w:t xml:space="preserve">Section: Clinical/Operational</w:t>
            </w:r>
          </w:p>
        </w:tc>
        <w:tc>
          <w:tcPr/>
          <w:p w:rsidR="00000000" w:rsidDel="00000000" w:rsidP="00000000" w:rsidRDefault="00000000" w:rsidRPr="00000000" w14:paraId="00000007">
            <w:pPr>
              <w:spacing w:line="240" w:lineRule="auto"/>
              <w:rPr/>
            </w:pPr>
            <w:r w:rsidDel="00000000" w:rsidR="00000000" w:rsidRPr="00000000">
              <w:rPr>
                <w:rtl w:val="0"/>
              </w:rPr>
              <w:t xml:space="preserve">Effective:  07/2019</w:t>
            </w:r>
          </w:p>
        </w:tc>
      </w:tr>
      <w:tr>
        <w:trPr>
          <w:cantSplit w:val="0"/>
          <w:tblHeader w:val="0"/>
        </w:trPr>
        <w:tc>
          <w:tcPr/>
          <w:p w:rsidR="00000000" w:rsidDel="00000000" w:rsidP="00000000" w:rsidRDefault="00000000" w:rsidRPr="00000000" w14:paraId="00000008">
            <w:pPr>
              <w:spacing w:line="240" w:lineRule="auto"/>
              <w:rPr/>
            </w:pPr>
            <w:r w:rsidDel="00000000" w:rsidR="00000000" w:rsidRPr="00000000">
              <w:rPr>
                <w:rtl w:val="0"/>
              </w:rPr>
              <w:t xml:space="preserve">Approved by: Program Director</w:t>
            </w:r>
          </w:p>
        </w:tc>
        <w:tc>
          <w:tcPr/>
          <w:p w:rsidR="00000000" w:rsidDel="00000000" w:rsidP="00000000" w:rsidRDefault="00000000" w:rsidRPr="00000000" w14:paraId="00000009">
            <w:pPr>
              <w:spacing w:line="240" w:lineRule="auto"/>
              <w:rPr/>
            </w:pPr>
            <w:r w:rsidDel="00000000" w:rsidR="00000000" w:rsidRPr="00000000">
              <w:rPr>
                <w:rtl w:val="0"/>
              </w:rPr>
              <w:t xml:space="preserve">Revised: 11/2019; 11/25</w:t>
            </w:r>
          </w:p>
        </w:tc>
      </w:tr>
      <w:tr>
        <w:trPr>
          <w:cantSplit w:val="0"/>
          <w:tblHeader w:val="0"/>
        </w:trPr>
        <w:tc>
          <w:tcPr/>
          <w:p w:rsidR="00000000" w:rsidDel="00000000" w:rsidP="00000000" w:rsidRDefault="00000000" w:rsidRPr="00000000" w14:paraId="0000000A">
            <w:pPr>
              <w:spacing w:line="240" w:lineRule="auto"/>
              <w:rPr/>
            </w:pPr>
            <w:r w:rsidDel="00000000" w:rsidR="00000000" w:rsidRPr="00000000">
              <w:rPr>
                <w:rtl w:val="0"/>
              </w:rPr>
            </w:r>
          </w:p>
        </w:tc>
        <w:tc>
          <w:tcPr/>
          <w:p w:rsidR="00000000" w:rsidDel="00000000" w:rsidP="00000000" w:rsidRDefault="00000000" w:rsidRPr="00000000" w14:paraId="0000000B">
            <w:pPr>
              <w:spacing w:line="240" w:lineRule="auto"/>
              <w:rPr/>
            </w:pPr>
            <w:r w:rsidDel="00000000" w:rsidR="00000000" w:rsidRPr="00000000">
              <w:rPr>
                <w:rtl w:val="0"/>
              </w:rPr>
              <w:t xml:space="preserve">Reviewed:12/2021;12/2022;12/23;12/24</w:t>
            </w:r>
          </w:p>
        </w:tc>
      </w:tr>
    </w:tbl>
    <w:p w:rsidR="00000000" w:rsidDel="00000000" w:rsidP="00000000" w:rsidRDefault="00000000" w:rsidRPr="00000000" w14:paraId="0000000C">
      <w:pPr>
        <w:pageBreakBefore w:val="0"/>
        <w:spacing w:after="120" w:line="24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ab/>
        <w:tab/>
        <w:tab/>
        <w:tab/>
        <w:tab/>
        <w:tab/>
      </w:r>
    </w:p>
    <w:p w:rsidR="00000000" w:rsidDel="00000000" w:rsidP="00000000" w:rsidRDefault="00000000" w:rsidRPr="00000000" w14:paraId="0000000D">
      <w:pPr>
        <w:pStyle w:val="Heading3"/>
        <w:pageBreakBefore w:val="0"/>
        <w:spacing w:after="120" w:before="200" w:line="240" w:lineRule="auto"/>
        <w:rPr>
          <w:rFonts w:ascii="Calibri" w:cs="Calibri" w:eastAsia="Calibri" w:hAnsi="Calibri"/>
          <w:b w:val="1"/>
          <w:smallCaps w:val="1"/>
          <w:color w:val="000000"/>
          <w:u w:val="single"/>
        </w:rPr>
      </w:pPr>
      <w:r w:rsidDel="00000000" w:rsidR="00000000" w:rsidRPr="00000000">
        <w:rPr>
          <w:rFonts w:ascii="Calibri" w:cs="Calibri" w:eastAsia="Calibri" w:hAnsi="Calibri"/>
          <w:b w:val="1"/>
          <w:smallCaps w:val="1"/>
          <w:color w:val="000000"/>
          <w:u w:val="single"/>
          <w:rtl w:val="0"/>
        </w:rPr>
        <w:t xml:space="preserve">Policy/Plan:</w:t>
      </w:r>
    </w:p>
    <w:p w:rsidR="00000000" w:rsidDel="00000000" w:rsidP="00000000" w:rsidRDefault="00000000" w:rsidRPr="00000000" w14:paraId="0000000E">
      <w:pPr>
        <w:pageBreakBefore w:val="0"/>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Sunlight Medical Services has a Diversion Control Plan (DCP) as part of its quality assurance program that contains specific measures to reduce the possibility of diversion of controlled substances from legitimate treatment use and that assigns specific responsibility to the medical and administrative staff for carrying out the diversion control measures and functions described in the DCP.  The goal of Sunlight Medical Services’ DCP is to reduce the scope and significance of diversion and its impact on communities. Sunlight Medical Services’ DCP makes every effort to balance diversion control against the therapeutic needs of the individual patient. The DCP addresses four general areas of concern: program environment, dosing and take-home medication (take-homes), prevention of multiple program enrollment, and prescription medication misuse.  It also provides information about how enforcement of the plan will occur. </w:t>
      </w:r>
    </w:p>
    <w:p w:rsidR="00000000" w:rsidDel="00000000" w:rsidP="00000000" w:rsidRDefault="00000000" w:rsidRPr="00000000" w14:paraId="0000000F">
      <w:pPr>
        <w:pStyle w:val="Heading3"/>
        <w:pageBreakBefore w:val="0"/>
        <w:spacing w:after="120" w:before="200" w:line="240" w:lineRule="auto"/>
        <w:rPr>
          <w:rFonts w:ascii="Calibri" w:cs="Calibri" w:eastAsia="Calibri" w:hAnsi="Calibri"/>
          <w:b w:val="1"/>
          <w:smallCaps w:val="1"/>
          <w:color w:val="000000"/>
          <w:u w:val="single"/>
        </w:rPr>
      </w:pPr>
      <w:r w:rsidDel="00000000" w:rsidR="00000000" w:rsidRPr="00000000">
        <w:rPr>
          <w:rFonts w:ascii="Calibri" w:cs="Calibri" w:eastAsia="Calibri" w:hAnsi="Calibri"/>
          <w:b w:val="1"/>
          <w:smallCaps w:val="1"/>
          <w:color w:val="000000"/>
          <w:u w:val="single"/>
          <w:rtl w:val="0"/>
        </w:rPr>
        <w:t xml:space="preserve">Procedure:</w:t>
      </w:r>
    </w:p>
    <w:p w:rsidR="00000000" w:rsidDel="00000000" w:rsidP="00000000" w:rsidRDefault="00000000" w:rsidRPr="00000000" w14:paraId="00000010">
      <w:pPr>
        <w:pageBreakBefore w:val="0"/>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Sunlight Medical Services employs the following monitoring, action, and prevention procedures to minimize diversion of medication/controlled substances:</w:t>
      </w:r>
    </w:p>
    <w:p w:rsidR="00000000" w:rsidDel="00000000" w:rsidP="00000000" w:rsidRDefault="00000000" w:rsidRPr="00000000" w14:paraId="00000011">
      <w:pPr>
        <w:pageBreakBefore w:val="0"/>
        <w:widowControl w:val="0"/>
        <w:spacing w:before="331.2" w:lineRule="auto"/>
        <w:ind w:right="57.59999999999991"/>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Program Environment</w:t>
      </w:r>
      <w:r w:rsidDel="00000000" w:rsidR="00000000" w:rsidRPr="00000000">
        <w:rPr>
          <w:rFonts w:ascii="Calibri" w:cs="Calibri" w:eastAsia="Calibri" w:hAnsi="Calibri"/>
          <w:rtl w:val="0"/>
        </w:rPr>
        <w:t xml:space="preserve">: Diversion in the program environment can be deterred and detected by regular surveillance and the monitoring of areas in and around the program, where opportunities for diversion may exist. Sunlight Medical Services uses video surveillance for this purpose, as well as a system of rounds, where program staff walk around the interior and exterior of the clinic on a regular and periodic basis to observe activities at the entrances and in the hallways, adjacent alleys, and parking areas.  These rounds provide an opportunity to assess and intervene in suspicious behaviors such as loitering.  Sunlight does these rounds/walks 1x/shift, at random times.   The no loitering policy is strictly enforced at all times.  Patients are not allowed to loiter at the clinic or within a half mile of the clinic, once their treatment activities are completed.  Failure to follow this policy may lead to discharge. </w:t>
      </w:r>
    </w:p>
    <w:p w:rsidR="00000000" w:rsidDel="00000000" w:rsidP="00000000" w:rsidRDefault="00000000" w:rsidRPr="00000000" w14:paraId="00000012">
      <w:pPr>
        <w:pageBreakBefore w:val="0"/>
        <w:widowControl w:val="0"/>
        <w:spacing w:before="331.2" w:lineRule="auto"/>
        <w:ind w:right="57.59999999999991"/>
        <w:rPr>
          <w:rFonts w:ascii="Calibri" w:cs="Calibri" w:eastAsia="Calibri" w:hAnsi="Calibri"/>
        </w:rPr>
      </w:pPr>
      <w:r w:rsidDel="00000000" w:rsidR="00000000" w:rsidRPr="00000000">
        <w:rPr>
          <w:rFonts w:ascii="Calibri" w:cs="Calibri" w:eastAsia="Calibri" w:hAnsi="Calibri"/>
          <w:rtl w:val="0"/>
        </w:rPr>
        <w:t xml:space="preserve">Sunlight Medical Services ensures a visible human presence at the clinic by having staff present during all operating hours and by making the staff presence known in the medical plaza where Sunlight Medical Services is located.  Sunlight Medical Services also does regular community outreach to the surrounding neighbors so that positive relationships are built with the neighbors.  By ensuring this physical presence within the physical environment,  Sunlight Medical Services gives community members the opportunity to approach staff with concerns and communicates the program’s commitment to assuring a safe environment and a positive impact on the surrounding community. Part of Sunlight Medical Services’ community outreach involves having an established relationship with the Glendale Police Department and local precinct so that surveillance findings can be communicated to them in an effort to minimize diversion.  Sunlight Medical Services has made contact with the Glendale Police Department and has an open line of communication with them.  </w:t>
      </w:r>
    </w:p>
    <w:p w:rsidR="00000000" w:rsidDel="00000000" w:rsidP="00000000" w:rsidRDefault="00000000" w:rsidRPr="00000000" w14:paraId="00000013">
      <w:pPr>
        <w:pageBreakBefore w:val="0"/>
        <w:widowControl w:val="0"/>
        <w:spacing w:before="331.2" w:lineRule="auto"/>
        <w:ind w:right="57.59999999999991"/>
        <w:rPr>
          <w:rFonts w:ascii="Calibri" w:cs="Calibri" w:eastAsia="Calibri" w:hAnsi="Calibri"/>
        </w:rPr>
      </w:pPr>
      <w:r w:rsidDel="00000000" w:rsidR="00000000" w:rsidRPr="00000000">
        <w:rPr>
          <w:rFonts w:ascii="Calibri" w:cs="Calibri" w:eastAsia="Calibri" w:hAnsi="Calibri"/>
          <w:rtl w:val="0"/>
        </w:rPr>
        <w:t xml:space="preserve">Sunlight Medical Services attempts to involve patient input as much as possible regarding the safety of the physical environment and minimization of diversion.  Sunlight Medical Services holds a quarterly Patient Advisory Committee meeting where patients can advise on program policies and procedures and give input on how to help balance diversion control strategies with the needs of the patients.  In addition to the Patient Advisory Committee meeting, patients are encouraged to provide feedback directly to their counselor at their regular meetings and there is a Suggestion Box in the lobby where patients can anonymously or identifiably leave suggestions.  </w:t>
      </w:r>
    </w:p>
    <w:p w:rsidR="00000000" w:rsidDel="00000000" w:rsidP="00000000" w:rsidRDefault="00000000" w:rsidRPr="00000000" w14:paraId="00000014">
      <w:pPr>
        <w:pageBreakBefore w:val="0"/>
        <w:widowControl w:val="0"/>
        <w:spacing w:after="12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5">
      <w:pPr>
        <w:pageBreakBefore w:val="0"/>
        <w:widowControl w:val="0"/>
        <w:spacing w:before="331.2" w:lineRule="auto"/>
        <w:ind w:right="9.600000000000364"/>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Dosing, Take-homes, and Drug Screening: </w:t>
      </w:r>
      <w:r w:rsidDel="00000000" w:rsidR="00000000" w:rsidRPr="00000000">
        <w:rPr>
          <w:rFonts w:ascii="Calibri" w:cs="Calibri" w:eastAsia="Calibri" w:hAnsi="Calibri"/>
          <w:rtl w:val="0"/>
        </w:rPr>
        <w:t xml:space="preserve">Sunlight Medical Services further attempts to prevent diversion through careful control of inventory, attentive patient dosing, and close supervision of take-homes. The following steps are implemented to ensure these control mechanisms occur: </w:t>
      </w:r>
    </w:p>
    <w:p w:rsidR="00000000" w:rsidDel="00000000" w:rsidP="00000000" w:rsidRDefault="00000000" w:rsidRPr="00000000" w14:paraId="00000016">
      <w:pPr>
        <w:pageBreakBefore w:val="0"/>
        <w:widowControl w:val="0"/>
        <w:numPr>
          <w:ilvl w:val="0"/>
          <w:numId w:val="1"/>
        </w:numP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Only the person being medicated is allowed to be at the medication window.  Only one person at a time is allowed at the medication window. </w:t>
      </w:r>
    </w:p>
    <w:p w:rsidR="00000000" w:rsidDel="00000000" w:rsidP="00000000" w:rsidRDefault="00000000" w:rsidRPr="00000000" w14:paraId="00000017">
      <w:pPr>
        <w:pageBreakBefore w:val="0"/>
        <w:widowControl w:val="0"/>
        <w:numPr>
          <w:ilvl w:val="0"/>
          <w:numId w:val="1"/>
        </w:numP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No cups, drinks, or food is allowed at the medication window other than the water cup and dispensing cup provided by the program to the patient for purposes of medicating. </w:t>
      </w:r>
    </w:p>
    <w:p w:rsidR="00000000" w:rsidDel="00000000" w:rsidP="00000000" w:rsidRDefault="00000000" w:rsidRPr="00000000" w14:paraId="00000018">
      <w:pPr>
        <w:pageBreakBefore w:val="0"/>
        <w:widowControl w:val="0"/>
        <w:numPr>
          <w:ilvl w:val="0"/>
          <w:numId w:val="1"/>
        </w:numP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patient must speak to the dispensing nurse after taking their medication, before leaving the medicating area.  This is to ensure that the patient ingests the medication. </w:t>
      </w:r>
    </w:p>
    <w:p w:rsidR="00000000" w:rsidDel="00000000" w:rsidP="00000000" w:rsidRDefault="00000000" w:rsidRPr="00000000" w14:paraId="00000019">
      <w:pPr>
        <w:pageBreakBefore w:val="0"/>
        <w:widowControl w:val="0"/>
        <w:numPr>
          <w:ilvl w:val="0"/>
          <w:numId w:val="1"/>
        </w:numP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All take home medication is labeled with clinic name, medical provider’s name, patient name, and dose of medication. </w:t>
      </w:r>
    </w:p>
    <w:p w:rsidR="00000000" w:rsidDel="00000000" w:rsidP="00000000" w:rsidRDefault="00000000" w:rsidRPr="00000000" w14:paraId="0000001A">
      <w:pPr>
        <w:pageBreakBefore w:val="0"/>
        <w:widowControl w:val="0"/>
        <w:numPr>
          <w:ilvl w:val="0"/>
          <w:numId w:val="1"/>
        </w:numP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All take home medication is dispensed in child-proof, sealed bottles and patients are informed that they have the responsibility to keep take-home medications in a child-proof medication container and must store them in a secure location.   </w:t>
      </w:r>
    </w:p>
    <w:p w:rsidR="00000000" w:rsidDel="00000000" w:rsidP="00000000" w:rsidRDefault="00000000" w:rsidRPr="00000000" w14:paraId="0000001B">
      <w:pPr>
        <w:pageBreakBefore w:val="0"/>
        <w:widowControl w:val="0"/>
        <w:numPr>
          <w:ilvl w:val="0"/>
          <w:numId w:val="1"/>
        </w:numP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Patients are required to verify the number of take home doses they get at the medication window and are held responsible for the same number of take home doses being in their possession when they leave the medication window.  </w:t>
      </w:r>
    </w:p>
    <w:p w:rsidR="00000000" w:rsidDel="00000000" w:rsidP="00000000" w:rsidRDefault="00000000" w:rsidRPr="00000000" w14:paraId="0000001C">
      <w:pPr>
        <w:pageBreakBefore w:val="0"/>
        <w:widowControl w:val="0"/>
        <w:numPr>
          <w:ilvl w:val="0"/>
          <w:numId w:val="1"/>
        </w:numP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Patients who report lost or stolen take home doses will not be given replacement doses and they may lose their take home privileges.  This situation should be assessed for the possibility of diversion and will be investigated by the Program Director to determine if diversion has occurred.  </w:t>
      </w:r>
    </w:p>
    <w:p w:rsidR="00000000" w:rsidDel="00000000" w:rsidP="00000000" w:rsidRDefault="00000000" w:rsidRPr="00000000" w14:paraId="0000001D">
      <w:pPr>
        <w:pageBreakBefore w:val="0"/>
        <w:widowControl w:val="0"/>
        <w:numPr>
          <w:ilvl w:val="0"/>
          <w:numId w:val="1"/>
        </w:numP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program does call backs where patients who receive 3-28 take home doses/month are called on a regular but random basis and required to bring their take home doses back into the clinic for verification that the correct number of doses is in their possession.  The dispensing nurses make the calls and patients are required to bring their doses back in within 24 hours of getting the call.  Patients who fail to successfully do this will lose their take home privileges.  The nurses document the call backs and dose verification process in a diversion control log and in the patient record. </w:t>
      </w:r>
    </w:p>
    <w:p w:rsidR="00000000" w:rsidDel="00000000" w:rsidP="00000000" w:rsidRDefault="00000000" w:rsidRPr="00000000" w14:paraId="0000001E">
      <w:pPr>
        <w:pageBreakBefore w:val="0"/>
        <w:widowControl w:val="0"/>
        <w:numPr>
          <w:ilvl w:val="0"/>
          <w:numId w:val="1"/>
        </w:numP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Treatment fees must be paid in order for patients to receive their take home doses. </w:t>
      </w:r>
    </w:p>
    <w:p w:rsidR="00000000" w:rsidDel="00000000" w:rsidP="00000000" w:rsidRDefault="00000000" w:rsidRPr="00000000" w14:paraId="0000001F">
      <w:pPr>
        <w:pageBreakBefore w:val="0"/>
        <w:widowControl w:val="0"/>
        <w:numPr>
          <w:ilvl w:val="0"/>
          <w:numId w:val="1"/>
        </w:numP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Decisions about giving take-home doses are individualized and each patient is evaluated for his/her appropriateness for take-home doses based on federal guidelines.  Take home doses are  universally granted for days that the program is closed.  Patients who request take home doses are thoroughly screened by the treatment team (counselor, nurse, medical provider, Program Director and Medical Director) to ensure that patients meet federal/SAMHSA guidelines for take homes, to include having time in treatment, following program rules, and having negative drug screens.  Any patient who is assessed to not meet criteria for take home doses, will not receive them. Decisions are made about granting take-home doses by the Medical Director with input from all members of the treatment team and their report of observations and information about the patient that may play a role in their meeting criteria for take-home doses.  </w:t>
      </w:r>
      <w:r w:rsidDel="00000000" w:rsidR="00000000" w:rsidRPr="00000000">
        <w:rPr>
          <w:rtl w:val="0"/>
        </w:rPr>
      </w:r>
    </w:p>
    <w:p w:rsidR="00000000" w:rsidDel="00000000" w:rsidP="00000000" w:rsidRDefault="00000000" w:rsidRPr="00000000" w14:paraId="00000020">
      <w:pPr>
        <w:pageBreakBefore w:val="0"/>
        <w:widowControl w:val="0"/>
        <w:numPr>
          <w:ilvl w:val="0"/>
          <w:numId w:val="1"/>
        </w:numP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If a patient is suspected of tampering with a UA, he/she will be required to provide an oral swab drug test, for further verification of what is in the patient system and to compare results with the suspected tampered UA.  </w:t>
      </w:r>
    </w:p>
    <w:p w:rsidR="00000000" w:rsidDel="00000000" w:rsidP="00000000" w:rsidRDefault="00000000" w:rsidRPr="00000000" w14:paraId="00000021">
      <w:pPr>
        <w:pageBreakBefore w:val="0"/>
        <w:widowControl w:val="0"/>
        <w:numPr>
          <w:ilvl w:val="0"/>
          <w:numId w:val="1"/>
        </w:numP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Drug testing/toxicology testing takes place randomly for all patients, including those with take-home doses, so that there is not a predictable routine for the tests.  </w:t>
      </w:r>
      <w:r w:rsidDel="00000000" w:rsidR="00000000" w:rsidRPr="00000000">
        <w:rPr>
          <w:rtl w:val="0"/>
        </w:rPr>
      </w:r>
    </w:p>
    <w:p w:rsidR="00000000" w:rsidDel="00000000" w:rsidP="00000000" w:rsidRDefault="00000000" w:rsidRPr="00000000" w14:paraId="00000022">
      <w:pPr>
        <w:pageBreakBefore w:val="0"/>
        <w:widowControl w:val="0"/>
        <w:numPr>
          <w:ilvl w:val="0"/>
          <w:numId w:val="1"/>
        </w:numP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Patients are not allowed to take bags into the bathroom with them when giving a UA, thereby minimizing the chance for falsification. </w:t>
      </w:r>
      <w:r w:rsidDel="00000000" w:rsidR="00000000" w:rsidRPr="00000000">
        <w:rPr>
          <w:rtl w:val="0"/>
        </w:rPr>
      </w:r>
    </w:p>
    <w:p w:rsidR="00000000" w:rsidDel="00000000" w:rsidP="00000000" w:rsidRDefault="00000000" w:rsidRPr="00000000" w14:paraId="00000023">
      <w:pPr>
        <w:pageBreakBefore w:val="0"/>
        <w:widowControl w:val="0"/>
        <w:numPr>
          <w:ilvl w:val="0"/>
          <w:numId w:val="1"/>
        </w:numP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program responds to toxicology specimens that are negative for methadone or otherwise indicative of falsification by addressing the possibility of diversion of methadone.  </w:t>
      </w:r>
      <w:r w:rsidDel="00000000" w:rsidR="00000000" w:rsidRPr="00000000">
        <w:rPr>
          <w:rtl w:val="0"/>
        </w:rPr>
      </w:r>
    </w:p>
    <w:p w:rsidR="00000000" w:rsidDel="00000000" w:rsidP="00000000" w:rsidRDefault="00000000" w:rsidRPr="00000000" w14:paraId="00000024">
      <w:pPr>
        <w:pageBreakBefore w:val="0"/>
        <w:widowControl w:val="0"/>
        <w:numPr>
          <w:ilvl w:val="0"/>
          <w:numId w:val="1"/>
        </w:numPr>
        <w:spacing w:after="12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Medical Director and Medical Provider are knowledgeable about physiological issues; have a thorough understanding of the differences among laboratories; and are knowledgeable about the factors that affect absorption, metabolism, and elimination of opioids, so that they can interpret a toxicology test that is negative for methadone or methadone metabolites.</w:t>
      </w:r>
      <w:r w:rsidDel="00000000" w:rsidR="00000000" w:rsidRPr="00000000">
        <w:rPr>
          <w:rtl w:val="0"/>
        </w:rPr>
      </w:r>
    </w:p>
    <w:p w:rsidR="00000000" w:rsidDel="00000000" w:rsidP="00000000" w:rsidRDefault="00000000" w:rsidRPr="00000000" w14:paraId="00000025">
      <w:pPr>
        <w:pageBreakBefore w:val="0"/>
        <w:widowControl w:val="0"/>
        <w:spacing w:before="331.2" w:lineRule="auto"/>
        <w:ind w:right="139.20000000000073"/>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Prevention of Multiple Program Enrollment: </w:t>
      </w:r>
      <w:r w:rsidDel="00000000" w:rsidR="00000000" w:rsidRPr="00000000">
        <w:rPr>
          <w:rFonts w:ascii="Calibri" w:cs="Calibri" w:eastAsia="Calibri" w:hAnsi="Calibri"/>
          <w:rtl w:val="0"/>
        </w:rPr>
        <w:t xml:space="preserve">Sunlight Medical Service takes reasonable measures to prevent patients from enrolling in treatment provided by more than one clinic or individual practitioner.  After obtaining consent from the patient, Sunlight Medical Services contacts other OTPs within a reasonable geographic distance (100 miles) to verify that the patient is not enrolled in another OTP. If the patient is found to be enrolled at another OTP, he/she is counseled on this, notified that it is not allowed, and is required to be discharged from one of the programs.  Sunlight Medical Staff helps to coordinate services for the patient at only one OTP/provider and informs patient that enrollment in more than one OTP/provider can be grounds for discharge from the program. </w:t>
      </w:r>
    </w:p>
    <w:p w:rsidR="00000000" w:rsidDel="00000000" w:rsidP="00000000" w:rsidRDefault="00000000" w:rsidRPr="00000000" w14:paraId="00000026">
      <w:pPr>
        <w:pageBreakBefore w:val="0"/>
        <w:widowControl w:val="0"/>
        <w:spacing w:before="331.2" w:lineRule="auto"/>
        <w:ind w:right="139.20000000000073"/>
        <w:rPr>
          <w:rFonts w:ascii="Calibri" w:cs="Calibri" w:eastAsia="Calibri" w:hAnsi="Calibri"/>
        </w:rPr>
      </w:pPr>
      <w:r w:rsidDel="00000000" w:rsidR="00000000" w:rsidRPr="00000000">
        <w:rPr>
          <w:rFonts w:ascii="Calibri" w:cs="Calibri" w:eastAsia="Calibri" w:hAnsi="Calibri"/>
          <w:rtl w:val="0"/>
        </w:rPr>
        <w:t xml:space="preserve"> • </w:t>
      </w:r>
      <w:r w:rsidDel="00000000" w:rsidR="00000000" w:rsidRPr="00000000">
        <w:rPr>
          <w:rFonts w:ascii="Calibri" w:cs="Calibri" w:eastAsia="Calibri" w:hAnsi="Calibri"/>
          <w:i w:val="1"/>
          <w:rtl w:val="0"/>
        </w:rPr>
        <w:t xml:space="preserve">Misuse of Prescription Medication: </w:t>
      </w:r>
      <w:r w:rsidDel="00000000" w:rsidR="00000000" w:rsidRPr="00000000">
        <w:rPr>
          <w:rFonts w:ascii="Calibri" w:cs="Calibri" w:eastAsia="Calibri" w:hAnsi="Calibri"/>
          <w:rtl w:val="0"/>
        </w:rPr>
        <w:t xml:space="preserve">Sunlight Medical Services takes steps to prevent the misuse of prescription medication as part of its diversion control plan.   The program Medical Provider checks the Prescription Drug Monitoring Program (PDMP) for all patients upon admission (prior to initiating dosing) and during each follow-up medical assessment appointment, at any request for increase in take home privileges, and upon any suspicion of diversion or impairment. The Medical Provider also checks the PDMP for all patients once/quarter. By checking the PDMP, the Medical Provider is able to confirm the patient’s history of prescription use as reported by the patient.  If the patient is still getting prescriptions for controlled substances or other psychotropics, the Medical Provider will discuss this with the patient and will review any contraindications for the medication with the opioid treatment medication patient is receiving and it will be requested that the patient sign a release of information from the other prescriber.  This is required in order to coordinate needed medical care while avoiding the use of medications that are contraindicated for medications prescribed by the OTP.  By checking the PDMP, the Medical Provider is also able to identify ongoing receipt of prescriptions not reported to the program for substances known to be misused by the patient.  In this case, the Medical Provider may require the patient to go through medically supervised  withdrawal from the misused prescription medications and may recommend behavioral interventions with the counselor to assist the patient in ceasing use of the misused prescription medications. Additional steps may be taken, to include referral for a full psychiatric assessment, higher levels of substance use disorder treatment, detoxification services, and/or intensive counseling.   If the patient is unable or unwilling to follow these steps as recommended/required by the Medical Provider,  he/she may be discharged from the program, for safety reasons.  </w:t>
      </w:r>
    </w:p>
    <w:p w:rsidR="00000000" w:rsidDel="00000000" w:rsidP="00000000" w:rsidRDefault="00000000" w:rsidRPr="00000000" w14:paraId="00000027">
      <w:pPr>
        <w:pageBreakBefore w:val="0"/>
        <w:widowControl w:val="0"/>
        <w:spacing w:before="331.2" w:lineRule="auto"/>
        <w:ind w:right="139.20000000000073"/>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Review of and enforcement of the DCP: </w:t>
      </w:r>
      <w:r w:rsidDel="00000000" w:rsidR="00000000" w:rsidRPr="00000000">
        <w:rPr>
          <w:rFonts w:ascii="Calibri" w:cs="Calibri" w:eastAsia="Calibri" w:hAnsi="Calibri"/>
          <w:rtl w:val="0"/>
        </w:rPr>
        <w:t xml:space="preserve">Sunlight Medical Services takes specific steps to investigate suspected diversion and to enforce the DCP.  The processes outlined in this document are taken by the treatment team in providing service to the patients and in operating the OTP.  The Program Director has responsibility for oversight, implementation, and enforcement of the DCP.  The DCP is reviewed monthly in staff meetings with the entire treatment team in order to allow staff the opportunity to update one another on issues and communicate concerns related to the DCP.  If a patient is unable to account for their medication, or if he/she is found to be diverting, selling, trading, or having multiple prescriptions for the medication, he/she will receive increased interventions and may be discharged from the program. If a patient is suspected of diversion, a report will be made to the Program Director, who will conduct an investigation and determine if diversion is occurring.  If it is determined that diversion is occurring, the patient will be counseled about it, placed on probation or other behavioral interventions, may be discharged, and/or potentially referred to law enforcement.   If an employee is suspected of diversion, a report will be made to the Program Director, who will conduct an investigation.  If an employee is found to be diverting medication, he/she will be terminated and reported to local authorities, the DEA, and their local licensing board.  Sunlight Medical Services takes steps to prevent diversion of medication by staff, to include: Limiting access of medication to authorized, medical staff only; Conducting random drug screens of employees and conducting drug screens of any employee suspected of diversion or impairment; A strict inventory is kept of the medication controlled by the program, to include automatic inventory measurement by the dispensing software and manual cross checks.  Sunlight Medical Services participates in DEA audits for further inventory verification. Sunlight Medical Services maintains open lines of communication with the community in order to receive feedback about any potential diversion issues in the community.   </w:t>
      </w:r>
    </w:p>
    <w:p w:rsidR="00000000" w:rsidDel="00000000" w:rsidP="00000000" w:rsidRDefault="00000000" w:rsidRPr="00000000" w14:paraId="00000028">
      <w:pPr>
        <w:pageBreakBefore w:val="0"/>
        <w:widowControl w:val="0"/>
        <w:spacing w:after="12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9">
      <w:pPr>
        <w:pageBreakBefore w:val="0"/>
        <w:tabs>
          <w:tab w:val="left" w:leader="none" w:pos="0"/>
          <w:tab w:val="left" w:leader="none" w:pos="324"/>
          <w:tab w:val="left" w:leader="none" w:pos="720"/>
          <w:tab w:val="left" w:leader="none" w:pos="1122"/>
          <w:tab w:val="left" w:leader="none" w:pos="1440"/>
          <w:tab w:val="left" w:leader="none" w:pos="1776"/>
          <w:tab w:val="left" w:leader="none" w:pos="2160"/>
          <w:tab w:val="left" w:leader="none" w:pos="2526"/>
          <w:tab w:val="left" w:leader="none" w:pos="2880"/>
          <w:tab w:val="left" w:leader="none" w:pos="3276"/>
          <w:tab w:val="left" w:leader="none" w:pos="3600"/>
          <w:tab w:val="left" w:leader="none" w:pos="3978"/>
          <w:tab w:val="left" w:leader="none" w:pos="4320"/>
          <w:tab w:val="left" w:leader="none" w:pos="4723"/>
          <w:tab w:val="left" w:leader="none" w:pos="5040"/>
          <w:tab w:val="left" w:leader="none" w:pos="5760"/>
          <w:tab w:val="left" w:leader="none" w:pos="6480"/>
          <w:tab w:val="left" w:leader="none" w:pos="7200"/>
          <w:tab w:val="left" w:leader="none" w:pos="7920"/>
          <w:tab w:val="left" w:leader="none" w:pos="8640"/>
          <w:tab w:val="left" w:leader="none" w:pos="9360"/>
        </w:tabs>
        <w:spacing w:line="240" w:lineRule="auto"/>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table" w:styleId="Table1">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table" w:styleId="Table1">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rPr>
      <w:rFonts w:ascii="Calibri" w:cs="Calibri" w:eastAsia="Calibri" w:hAnsi="Calibri"/>
      <w:sz w:val="22"/>
      <w:szCs w:val="22"/>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bYoV+krA7oTdWgEOLWJ97Z+Gg==">CgMxLjAyCGguZ2pkZ3hzMgloLjMwajB6bGw4AHIhMXMzMXZLMms1bGtsYjc0Qy00MFgwZUpQdEVMRW1HeHBm</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8F42C01-ACEC-41E5-9CF6-6A43A4751436}"/>
</file>

<file path=customXML/itemProps3.xml><?xml version="1.0" encoding="utf-8"?>
<ds:datastoreItem xmlns:ds="http://schemas.openxmlformats.org/officeDocument/2006/customXml" ds:itemID="{90153AB9-60D9-426C-9E9E-0F58137F8035}"/>
</file>

<file path=customXML/itemProps4.xml><?xml version="1.0" encoding="utf-8"?>
<ds:datastoreItem xmlns:ds="http://schemas.openxmlformats.org/officeDocument/2006/customXml" ds:itemID="{E3C329EC-DB0A-445A-9033-C088C1A54472}"/>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